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Показатели</w:t>
        <w:br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мониторинга системы образования</w:t>
        <w:br/>
        <w:t xml:space="preserve">(утв. </w:t>
      </w:r>
      <w:hyperlink w:anchor="sub_0">
        <w:r>
          <w:rPr>
            <w:rStyle w:val="Style13"/>
            <w:rFonts w:eastAsia="Times New Roman" w:cs="Times New Roman" w:ascii="Times New Roman" w:hAnsi="Times New Roman"/>
            <w:color w:val="106BBE"/>
            <w:sz w:val="28"/>
            <w:szCs w:val="28"/>
            <w:lang w:eastAsia="ru-RU"/>
          </w:rPr>
          <w:t>приказом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Министерства образования и науки РФ от 15 января 2014 г. N 14)</w:t>
      </w:r>
    </w:p>
    <w:p>
      <w:pPr>
        <w:pStyle w:val="Normal"/>
        <w:spacing w:lineRule="auto" w:line="240" w:before="0" w:after="0"/>
        <w:ind w:left="260" w:right="0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Gabriola" w:cs="Times New Roman" w:ascii="Times New Roman" w:hAnsi="Times New Roman"/>
          <w:sz w:val="28"/>
          <w:szCs w:val="28"/>
          <w:lang w:val="ru-RU" w:eastAsia="ru-RU"/>
        </w:rPr>
        <w:t>Муниципальное бюджетное дошкольное образовательное учреждение Курагинский детский сад №1 «Красная шапочка» комбюинированного вида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74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8"/>
        <w:gridCol w:w="6010"/>
        <w:gridCol w:w="1404"/>
        <w:gridCol w:w="1517"/>
      </w:tblGrid>
      <w:tr>
        <w:trPr>
          <w:trHeight w:val="315" w:hRule="atLeast"/>
        </w:trPr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>
        <w:trPr>
          <w:trHeight w:val="23" w:hRule="exact"/>
        </w:trPr>
        <w:tc>
          <w:tcPr>
            <w:tcW w:w="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60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60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>
        <w:trPr>
          <w:trHeight w:val="315" w:hRule="atLeast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>
        <w:trPr>
          <w:trHeight w:val="69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>
        <w:trPr>
          <w:trHeight w:val="220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5"/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5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5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>
        <w:trPr>
          <w:trHeight w:val="220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5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5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5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>
        <w:trPr>
          <w:trHeight w:val="126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1.1.3.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>
        <w:trPr>
          <w:trHeight w:val="126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>
        <w:trPr>
          <w:trHeight w:val="63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7,8</w:t>
            </w:r>
          </w:p>
        </w:tc>
      </w:tr>
      <w:tr>
        <w:trPr>
          <w:trHeight w:val="126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1.4.5.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>
        <w:trPr>
          <w:trHeight w:val="126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32</w:t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100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>
        <w:trPr>
          <w:trHeight w:val="63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136,50</w:t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90" w:hRule="atLeast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>
        <w:trPr>
          <w:trHeight w:val="130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</w:tr>
      <w:tr>
        <w:trPr>
          <w:trHeight w:val="189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57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9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2.2.2.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32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>
        <w:trPr>
          <w:trHeight w:val="63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32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>
        <w:trPr>
          <w:trHeight w:val="63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имеющих доступ к Интернету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>
        <w:trPr>
          <w:trHeight w:val="220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57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9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>
        <w:trPr>
          <w:trHeight w:val="135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2.6.3.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89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2.6.5.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63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2.7.2.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2.7.3.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2.7.4.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7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2.10.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2.10.1.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2.10.2.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дымовые извещатели,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2.10.3.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2.10.4.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2.10.5.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2.10.6.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2.10.7.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III. Дополнительное образование</w:t>
            </w:r>
          </w:p>
        </w:tc>
      </w:tr>
      <w:tr>
        <w:trPr>
          <w:trHeight w:val="300" w:hRule="atLeast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</w:tr>
      <w:tr>
        <w:trPr>
          <w:trHeight w:val="67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>
        <w:trPr>
          <w:trHeight w:val="157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</w:tr>
      <w:tr>
        <w:trPr>
          <w:trHeight w:val="283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работающие по всем видам образовательной деятельности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имеющих доступ к Интернету.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41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>
        <w:trPr>
          <w:trHeight w:val="630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1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05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5.6.2.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9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08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дымовые извещатели,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5.8.3.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5.8.4.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V. Дополнительная информация о системе образования</w:t>
            </w:r>
          </w:p>
        </w:tc>
      </w:tr>
      <w:tr>
        <w:trPr>
          <w:trHeight w:val="570" w:hRule="atLeast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>
        <w:trPr>
          <w:trHeight w:val="660" w:hRule="atLeast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</w:tr>
      <w:tr>
        <w:trPr>
          <w:trHeight w:val="945" w:hRule="atLeast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808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9"/>
    <w:qFormat/>
    <w:rsid w:val="00496e8f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5">
    <w:name w:val="Заголовок 5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496e8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Гипертекстовая ссылка"/>
    <w:uiPriority w:val="99"/>
    <w:qFormat/>
    <w:rsid w:val="00496e8f"/>
    <w:rPr>
      <w:b w:val="false"/>
      <w:bCs w:val="false"/>
      <w:color w:val="106BBE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numbering" w:styleId="12" w:customStyle="1">
    <w:name w:val="Нет списка1"/>
    <w:uiPriority w:val="99"/>
    <w:semiHidden/>
    <w:unhideWhenUsed/>
    <w:rsid w:val="00496e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Application>LibreOffice/4.4.0.3$Windows_x86 LibreOffice_project/de093506bcdc5fafd9023ee680b8c60e3e0645d7</Application>
  <Paragraphs>558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2019-01-18T05:55:00Z</dcterms:created>
  <dc:creator>Пользователь Windows</dc:creator>
  <dc:language>ru-RU</dc:language>
  <dcterms:modified xsi:type="dcterms:W3CDTF">2019-01-29T16:18:38Z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